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21BC2" w14:textId="77777777" w:rsidR="00D543F8" w:rsidRDefault="00D543F8" w:rsidP="00D543F8">
      <w:pPr>
        <w:ind w:left="4248" w:firstLine="708"/>
        <w:jc w:val="center"/>
        <w:rPr>
          <w:rFonts w:ascii="Times New Roman" w:hAnsi="Times New Roman"/>
          <w:sz w:val="22"/>
          <w:szCs w:val="22"/>
        </w:rPr>
      </w:pPr>
    </w:p>
    <w:p w14:paraId="2B7FA690" w14:textId="77777777" w:rsidR="00D543F8" w:rsidRDefault="00D543F8" w:rsidP="00D543F8">
      <w:pPr>
        <w:jc w:val="center"/>
        <w:rPr>
          <w:rFonts w:ascii="Times New Roman" w:hAnsi="Times New Roman"/>
          <w:b/>
          <w:sz w:val="22"/>
          <w:szCs w:val="22"/>
        </w:rPr>
      </w:pPr>
      <w:r>
        <w:rPr>
          <w:rFonts w:ascii="Times New Roman" w:hAnsi="Times New Roman"/>
          <w:b/>
          <w:sz w:val="22"/>
          <w:szCs w:val="22"/>
        </w:rPr>
        <w:t>OBRAZLOŽENJE</w:t>
      </w:r>
    </w:p>
    <w:p w14:paraId="5B25A7EB" w14:textId="77777777" w:rsidR="00D543F8" w:rsidRDefault="00D543F8" w:rsidP="00D543F8">
      <w:pPr>
        <w:jc w:val="center"/>
        <w:rPr>
          <w:rFonts w:ascii="Times New Roman" w:hAnsi="Times New Roman"/>
          <w:b/>
          <w:sz w:val="22"/>
          <w:szCs w:val="22"/>
        </w:rPr>
      </w:pPr>
    </w:p>
    <w:p w14:paraId="4EA7D8C2" w14:textId="77777777" w:rsidR="00D543F8" w:rsidRDefault="00D543F8" w:rsidP="00D543F8">
      <w:pPr>
        <w:autoSpaceDE w:val="0"/>
        <w:autoSpaceDN w:val="0"/>
        <w:adjustRightInd w:val="0"/>
        <w:rPr>
          <w:rFonts w:ascii="Times New Roman" w:hAnsi="Times New Roman"/>
          <w:color w:val="000000"/>
          <w:sz w:val="22"/>
          <w:szCs w:val="22"/>
        </w:rPr>
      </w:pPr>
    </w:p>
    <w:p w14:paraId="18336405" w14:textId="77777777" w:rsidR="00D543F8" w:rsidRDefault="00D543F8" w:rsidP="00D543F8">
      <w:pPr>
        <w:numPr>
          <w:ilvl w:val="0"/>
          <w:numId w:val="1"/>
        </w:numPr>
        <w:spacing w:line="252" w:lineRule="auto"/>
        <w:rPr>
          <w:rFonts w:ascii="Times New Roman" w:eastAsia="Calibri" w:hAnsi="Times New Roman"/>
          <w:b/>
          <w:bCs/>
          <w:sz w:val="22"/>
          <w:szCs w:val="22"/>
          <w:lang w:eastAsia="en-US"/>
        </w:rPr>
      </w:pPr>
      <w:r>
        <w:rPr>
          <w:rFonts w:ascii="Times New Roman" w:eastAsia="Calibri" w:hAnsi="Times New Roman"/>
          <w:b/>
          <w:bCs/>
          <w:sz w:val="22"/>
          <w:szCs w:val="22"/>
          <w:lang w:eastAsia="en-US"/>
        </w:rPr>
        <w:t>PRAVNA OSNOVA</w:t>
      </w:r>
    </w:p>
    <w:p w14:paraId="0690C99E" w14:textId="77777777" w:rsidR="00D543F8" w:rsidRDefault="00D543F8" w:rsidP="00D543F8">
      <w:pPr>
        <w:spacing w:after="160" w:line="252" w:lineRule="auto"/>
        <w:rPr>
          <w:rFonts w:ascii="Times New Roman" w:hAnsi="Times New Roman"/>
          <w:b/>
          <w:bCs/>
          <w:sz w:val="22"/>
          <w:szCs w:val="22"/>
        </w:rPr>
      </w:pPr>
    </w:p>
    <w:p w14:paraId="7B9375E8" w14:textId="77777777" w:rsidR="00D543F8" w:rsidRDefault="00D543F8" w:rsidP="00D543F8">
      <w:pPr>
        <w:jc w:val="both"/>
        <w:rPr>
          <w:rFonts w:ascii="Times New Roman" w:eastAsia="Calibri" w:hAnsi="Times New Roman"/>
          <w:sz w:val="22"/>
          <w:szCs w:val="22"/>
          <w:lang w:eastAsia="en-US"/>
        </w:rPr>
      </w:pPr>
      <w:r>
        <w:rPr>
          <w:rFonts w:ascii="Times New Roman" w:eastAsia="Calibri" w:hAnsi="Times New Roman"/>
          <w:sz w:val="22"/>
          <w:szCs w:val="22"/>
          <w:lang w:eastAsia="en-US"/>
        </w:rPr>
        <w:t xml:space="preserve">- Članak 120. Zakona o proračunu („Narodne novine“, br. 144/21) koji  propisuje uvjete dugoročnog zaduživanja jedinice lokalne i područne (regionalne) samouprave, </w:t>
      </w:r>
    </w:p>
    <w:p w14:paraId="631F385F" w14:textId="77777777" w:rsidR="00D543F8" w:rsidRDefault="00D543F8" w:rsidP="00D543F8">
      <w:pPr>
        <w:jc w:val="both"/>
        <w:rPr>
          <w:rFonts w:ascii="Times New Roman" w:eastAsia="Calibri" w:hAnsi="Times New Roman"/>
          <w:sz w:val="22"/>
          <w:szCs w:val="22"/>
          <w:lang w:eastAsia="en-US"/>
        </w:rPr>
      </w:pPr>
      <w:r>
        <w:rPr>
          <w:rFonts w:ascii="Times New Roman" w:eastAsia="Calibri" w:hAnsi="Times New Roman"/>
          <w:sz w:val="22"/>
          <w:szCs w:val="22"/>
          <w:lang w:eastAsia="en-US"/>
        </w:rPr>
        <w:t xml:space="preserve">- Članak 122. Zakona o proračunu („Narodne novine“, br. 144/21)  koji propisuje način zaduživanja za </w:t>
      </w:r>
      <w:proofErr w:type="spellStart"/>
      <w:r>
        <w:rPr>
          <w:rFonts w:ascii="Times New Roman" w:eastAsia="Calibri" w:hAnsi="Times New Roman"/>
          <w:sz w:val="22"/>
          <w:szCs w:val="22"/>
          <w:lang w:eastAsia="en-US"/>
        </w:rPr>
        <w:t>prefinanciranje</w:t>
      </w:r>
      <w:proofErr w:type="spellEnd"/>
      <w:r>
        <w:rPr>
          <w:rFonts w:ascii="Times New Roman" w:eastAsia="Calibri" w:hAnsi="Times New Roman"/>
          <w:sz w:val="22"/>
          <w:szCs w:val="22"/>
          <w:lang w:eastAsia="en-US"/>
        </w:rPr>
        <w:t xml:space="preserve"> EU projekata za koje jedinica naknadno prima sredstva pomoći iz državnog proračuna i obveza povrata zaduženja,</w:t>
      </w:r>
    </w:p>
    <w:p w14:paraId="3FC26E5A" w14:textId="77777777" w:rsidR="00D543F8" w:rsidRDefault="00D543F8" w:rsidP="00D543F8">
      <w:pPr>
        <w:jc w:val="both"/>
        <w:rPr>
          <w:rFonts w:ascii="Times New Roman" w:eastAsia="Calibri" w:hAnsi="Times New Roman"/>
          <w:sz w:val="22"/>
          <w:szCs w:val="22"/>
          <w:lang w:eastAsia="en-US"/>
        </w:rPr>
      </w:pPr>
      <w:r>
        <w:rPr>
          <w:rFonts w:ascii="Times New Roman" w:eastAsia="Calibri" w:hAnsi="Times New Roman"/>
          <w:sz w:val="22"/>
          <w:szCs w:val="22"/>
          <w:lang w:eastAsia="en-US"/>
        </w:rPr>
        <w:t>- Članak 5. Pravilnika o postupku dugoročnog zaduživanja te davanja jamstava i suglasnosti jedinica lokalne i područne (regionalne) samouprave („Narodne novine“, br. 67/22).</w:t>
      </w:r>
    </w:p>
    <w:p w14:paraId="2110445F" w14:textId="77777777" w:rsidR="00D543F8" w:rsidRDefault="00D543F8" w:rsidP="00D543F8">
      <w:pPr>
        <w:jc w:val="both"/>
        <w:rPr>
          <w:rFonts w:ascii="Times New Roman" w:hAnsi="Times New Roman"/>
          <w:b/>
          <w:bCs/>
          <w:sz w:val="22"/>
          <w:szCs w:val="22"/>
        </w:rPr>
      </w:pPr>
    </w:p>
    <w:p w14:paraId="081BA38B" w14:textId="77777777" w:rsidR="00D543F8" w:rsidRDefault="00D543F8" w:rsidP="00D543F8">
      <w:pPr>
        <w:numPr>
          <w:ilvl w:val="0"/>
          <w:numId w:val="1"/>
        </w:numPr>
        <w:spacing w:line="252" w:lineRule="auto"/>
        <w:jc w:val="both"/>
        <w:rPr>
          <w:rFonts w:ascii="Times New Roman" w:eastAsia="Calibri" w:hAnsi="Times New Roman"/>
          <w:b/>
          <w:bCs/>
          <w:sz w:val="22"/>
          <w:szCs w:val="22"/>
          <w:lang w:eastAsia="en-US"/>
        </w:rPr>
      </w:pPr>
      <w:r>
        <w:rPr>
          <w:rFonts w:ascii="Times New Roman" w:eastAsia="Calibri" w:hAnsi="Times New Roman"/>
          <w:b/>
          <w:bCs/>
          <w:sz w:val="22"/>
          <w:szCs w:val="22"/>
          <w:lang w:eastAsia="en-US"/>
        </w:rPr>
        <w:t>OCJENA STANJA I OSNOVNA PITANJA KOJA SE UREĐUJU AKTOM I OBJAŠNJENJE POJEDINIH ODREDBI</w:t>
      </w:r>
    </w:p>
    <w:p w14:paraId="02F46EF3" w14:textId="77777777" w:rsidR="00D44A12" w:rsidRDefault="00D44A12" w:rsidP="00D44A12">
      <w:pPr>
        <w:spacing w:line="252" w:lineRule="auto"/>
        <w:ind w:left="720"/>
        <w:jc w:val="both"/>
        <w:rPr>
          <w:rFonts w:ascii="Times New Roman" w:eastAsia="Calibri" w:hAnsi="Times New Roman"/>
          <w:b/>
          <w:bCs/>
          <w:sz w:val="22"/>
          <w:szCs w:val="22"/>
          <w:lang w:eastAsia="en-US"/>
        </w:rPr>
      </w:pPr>
    </w:p>
    <w:p w14:paraId="275DB35C" w14:textId="77777777" w:rsidR="00D543F8" w:rsidRDefault="00D543F8" w:rsidP="00D543F8">
      <w:pPr>
        <w:ind w:firstLine="360"/>
        <w:jc w:val="both"/>
        <w:rPr>
          <w:rFonts w:ascii="Times New Roman" w:hAnsi="Times New Roman"/>
          <w:sz w:val="22"/>
          <w:szCs w:val="22"/>
        </w:rPr>
      </w:pPr>
      <w:r>
        <w:rPr>
          <w:rFonts w:ascii="Times New Roman" w:hAnsi="Times New Roman"/>
          <w:sz w:val="22"/>
          <w:szCs w:val="22"/>
        </w:rPr>
        <w:t xml:space="preserve">Odlukom o izvršavanju potrebno je, u svrhu dizanja dugoročnih kredita, utvrditi iznos novog dugoročnog zaduženja u tijeku proračunske godine te očekivani iznos ukupnog duga na kraju proračunske godine. </w:t>
      </w:r>
    </w:p>
    <w:p w14:paraId="50B69C2C" w14:textId="77777777" w:rsidR="00D543F8" w:rsidRDefault="00D543F8" w:rsidP="00D543F8">
      <w:pPr>
        <w:ind w:firstLine="360"/>
        <w:jc w:val="both"/>
        <w:rPr>
          <w:rFonts w:ascii="Times New Roman" w:hAnsi="Times New Roman"/>
          <w:sz w:val="22"/>
          <w:szCs w:val="22"/>
        </w:rPr>
      </w:pPr>
      <w:r>
        <w:rPr>
          <w:rFonts w:ascii="Times New Roman" w:hAnsi="Times New Roman"/>
          <w:sz w:val="22"/>
          <w:szCs w:val="22"/>
        </w:rPr>
        <w:t xml:space="preserve">Grad se planira zadužiti za iznos od  15.276.921,00 EUR, od čega se iznos od                                                                986.000,00   EUR odnosi na neprihvatljive troškove EU projekata u provedbi , 317.250,00 EUR za prihvatljive troškove projekta ITU mehanizma (Javni prijevoz)  dok se iznos od 1.696.000,00 EUR odnosi na kapitalne projekte izgradnje teniskih terena (dva kredita)  odnosno otkupa zemljišta za potrebe izgradnje kružnog raskrižja na spoju državnih cesta DC2 i DC20 te </w:t>
      </w:r>
      <w:proofErr w:type="spellStart"/>
      <w:r>
        <w:rPr>
          <w:rFonts w:ascii="Times New Roman" w:hAnsi="Times New Roman"/>
          <w:sz w:val="22"/>
          <w:szCs w:val="22"/>
        </w:rPr>
        <w:t>Starčevićeve</w:t>
      </w:r>
      <w:proofErr w:type="spellEnd"/>
      <w:r>
        <w:rPr>
          <w:rFonts w:ascii="Times New Roman" w:hAnsi="Times New Roman"/>
          <w:sz w:val="22"/>
          <w:szCs w:val="22"/>
        </w:rPr>
        <w:t xml:space="preserve"> ulice. </w:t>
      </w:r>
    </w:p>
    <w:p w14:paraId="08923654" w14:textId="77777777" w:rsidR="00D543F8" w:rsidRDefault="00D543F8" w:rsidP="00D543F8">
      <w:pPr>
        <w:ind w:firstLine="360"/>
        <w:jc w:val="both"/>
        <w:rPr>
          <w:rFonts w:ascii="Times New Roman" w:hAnsi="Times New Roman"/>
          <w:sz w:val="22"/>
          <w:szCs w:val="22"/>
        </w:rPr>
      </w:pPr>
      <w:r>
        <w:rPr>
          <w:rFonts w:ascii="Times New Roman" w:hAnsi="Times New Roman"/>
          <w:sz w:val="22"/>
          <w:szCs w:val="22"/>
        </w:rPr>
        <w:t>Iznos od  12.097.671,00 EUR je iznos koji će se refundirati iz državnog proračuna (EU sredstva) kojim se će izvršiti otplata kredita.</w:t>
      </w:r>
    </w:p>
    <w:p w14:paraId="6C3AEF08" w14:textId="77777777" w:rsidR="00D543F8" w:rsidRDefault="00D543F8" w:rsidP="00D543F8">
      <w:pPr>
        <w:ind w:left="360" w:firstLine="360"/>
        <w:jc w:val="both"/>
        <w:rPr>
          <w:rFonts w:ascii="Times New Roman" w:hAnsi="Times New Roman"/>
          <w:sz w:val="22"/>
          <w:szCs w:val="22"/>
        </w:rPr>
      </w:pPr>
    </w:p>
    <w:p w14:paraId="2BF100CA" w14:textId="77777777" w:rsidR="00D543F8" w:rsidRDefault="00D543F8" w:rsidP="00D543F8">
      <w:pPr>
        <w:numPr>
          <w:ilvl w:val="0"/>
          <w:numId w:val="1"/>
        </w:numPr>
        <w:spacing w:line="252" w:lineRule="auto"/>
        <w:jc w:val="both"/>
        <w:rPr>
          <w:rFonts w:ascii="Times New Roman" w:eastAsia="Calibri" w:hAnsi="Times New Roman"/>
          <w:b/>
          <w:bCs/>
          <w:sz w:val="22"/>
          <w:szCs w:val="22"/>
          <w:lang w:eastAsia="en-US"/>
        </w:rPr>
      </w:pPr>
      <w:r>
        <w:rPr>
          <w:rFonts w:ascii="Times New Roman" w:eastAsia="Calibri" w:hAnsi="Times New Roman"/>
          <w:b/>
          <w:bCs/>
          <w:sz w:val="22"/>
          <w:szCs w:val="22"/>
          <w:lang w:eastAsia="en-US"/>
        </w:rPr>
        <w:t>FINANCIJSKA SREDSTVA POTREBNA ZA IZVRŠENJE ODLUKE</w:t>
      </w:r>
    </w:p>
    <w:p w14:paraId="1E4D51DA" w14:textId="77777777" w:rsidR="00D44A12" w:rsidRDefault="00D44A12" w:rsidP="00D44A12">
      <w:pPr>
        <w:spacing w:line="252" w:lineRule="auto"/>
        <w:ind w:left="720"/>
        <w:jc w:val="both"/>
        <w:rPr>
          <w:rFonts w:ascii="Times New Roman" w:eastAsia="Calibri" w:hAnsi="Times New Roman"/>
          <w:b/>
          <w:bCs/>
          <w:sz w:val="22"/>
          <w:szCs w:val="22"/>
          <w:lang w:eastAsia="en-US"/>
        </w:rPr>
      </w:pPr>
    </w:p>
    <w:p w14:paraId="57B81B06" w14:textId="77777777" w:rsidR="00D543F8" w:rsidRDefault="00D543F8" w:rsidP="00D543F8">
      <w:pPr>
        <w:ind w:firstLine="360"/>
        <w:jc w:val="both"/>
        <w:rPr>
          <w:rFonts w:ascii="Times New Roman" w:hAnsi="Times New Roman"/>
          <w:sz w:val="22"/>
          <w:szCs w:val="22"/>
        </w:rPr>
      </w:pPr>
      <w:r>
        <w:rPr>
          <w:rFonts w:ascii="Times New Roman" w:hAnsi="Times New Roman"/>
          <w:sz w:val="22"/>
          <w:szCs w:val="22"/>
        </w:rPr>
        <w:t>Ukupan trošak potreban za provođenje ove odluke iznosi    17.836.968,27,00 EUR, od čega 15.276.921,00 EUR glavnice 2.529.493,43  EUR kamata te naknada za obradu kredita u iznosu od  30.553,84 EUR. Prije stavljanja kredita u otplatu očekuje se povrat većine ugovorenih glavnica za iznose ostvarenih uplata iz državnog proračuna kada će se temeljem novih planova otplate utvrđene obveze povrata uključiti u naredne proračunske godine.</w:t>
      </w:r>
    </w:p>
    <w:p w14:paraId="4CF1A69F" w14:textId="77777777" w:rsidR="00D543F8" w:rsidRDefault="00D543F8" w:rsidP="00D543F8">
      <w:pPr>
        <w:jc w:val="both"/>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p>
    <w:p w14:paraId="6D91FBC0" w14:textId="77777777" w:rsidR="00D543F8" w:rsidRDefault="00D543F8" w:rsidP="00D543F8">
      <w:pPr>
        <w:ind w:left="1440" w:hanging="720"/>
        <w:rPr>
          <w:rFonts w:ascii="Times New Roman" w:hAnsi="Times New Roman"/>
          <w:sz w:val="22"/>
          <w:szCs w:val="22"/>
        </w:rPr>
      </w:pPr>
      <w:r>
        <w:rPr>
          <w:rFonts w:ascii="Times New Roman" w:hAnsi="Times New Roman"/>
          <w:sz w:val="22"/>
          <w:szCs w:val="22"/>
        </w:rPr>
        <w:t xml:space="preserve">Nositelj izrade akta :                                               </w:t>
      </w:r>
      <w:r>
        <w:rPr>
          <w:rFonts w:ascii="Times New Roman" w:hAnsi="Times New Roman"/>
          <w:sz w:val="22"/>
          <w:szCs w:val="22"/>
        </w:rPr>
        <w:tab/>
      </w:r>
      <w:r>
        <w:rPr>
          <w:rFonts w:ascii="Times New Roman" w:hAnsi="Times New Roman"/>
          <w:sz w:val="22"/>
          <w:szCs w:val="22"/>
        </w:rPr>
        <w:tab/>
        <w:t xml:space="preserve">  </w:t>
      </w:r>
      <w:r>
        <w:rPr>
          <w:rFonts w:ascii="Times New Roman" w:hAnsi="Times New Roman"/>
          <w:sz w:val="22"/>
          <w:szCs w:val="22"/>
        </w:rPr>
        <w:tab/>
        <w:t xml:space="preserve"> Predlagatelj akta:</w:t>
      </w:r>
    </w:p>
    <w:p w14:paraId="1473D45D" w14:textId="77777777" w:rsidR="00D543F8" w:rsidRDefault="00D543F8" w:rsidP="00D543F8">
      <w:pPr>
        <w:ind w:firstLine="360"/>
        <w:rPr>
          <w:rFonts w:ascii="Times New Roman" w:hAnsi="Times New Roman"/>
          <w:sz w:val="22"/>
          <w:szCs w:val="22"/>
        </w:rPr>
      </w:pPr>
      <w:r>
        <w:rPr>
          <w:rFonts w:ascii="Times New Roman" w:hAnsi="Times New Roman"/>
          <w:sz w:val="22"/>
          <w:szCs w:val="22"/>
        </w:rPr>
        <w:t xml:space="preserve">Upravni odjel za financije,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p>
    <w:p w14:paraId="3AA69E92" w14:textId="77777777" w:rsidR="00D543F8" w:rsidRDefault="00D543F8" w:rsidP="00D543F8">
      <w:pPr>
        <w:ind w:firstLine="360"/>
        <w:rPr>
          <w:rFonts w:ascii="Times New Roman" w:hAnsi="Times New Roman"/>
          <w:sz w:val="22"/>
          <w:szCs w:val="22"/>
        </w:rPr>
      </w:pPr>
      <w:r>
        <w:rPr>
          <w:rFonts w:ascii="Times New Roman" w:hAnsi="Times New Roman"/>
          <w:sz w:val="22"/>
          <w:szCs w:val="22"/>
        </w:rPr>
        <w:t xml:space="preserve">gospodarstvo i europske poslove  </w:t>
      </w:r>
    </w:p>
    <w:p w14:paraId="251E1604" w14:textId="77777777" w:rsidR="00D543F8" w:rsidRDefault="00D543F8" w:rsidP="00D543F8">
      <w:pPr>
        <w:jc w:val="both"/>
        <w:rPr>
          <w:rFonts w:ascii="Times New Roman" w:hAnsi="Times New Roman"/>
          <w:sz w:val="22"/>
          <w:szCs w:val="22"/>
        </w:rPr>
      </w:pPr>
    </w:p>
    <w:p w14:paraId="0E3F5C2A" w14:textId="77777777" w:rsidR="00D543F8" w:rsidRDefault="00D543F8" w:rsidP="00D543F8">
      <w:pPr>
        <w:ind w:left="360" w:firstLine="360"/>
        <w:jc w:val="both"/>
        <w:rPr>
          <w:rFonts w:ascii="Times New Roman" w:hAnsi="Times New Roman"/>
          <w:sz w:val="22"/>
          <w:szCs w:val="22"/>
        </w:rPr>
      </w:pPr>
      <w:r>
        <w:rPr>
          <w:rFonts w:ascii="Times New Roman" w:hAnsi="Times New Roman"/>
          <w:sz w:val="22"/>
          <w:szCs w:val="22"/>
        </w:rPr>
        <w:t xml:space="preserve">    Pročelnik: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Pr>
          <w:rFonts w:ascii="Times New Roman" w:hAnsi="Times New Roman"/>
          <w:sz w:val="22"/>
          <w:szCs w:val="22"/>
        </w:rPr>
        <w:tab/>
        <w:t xml:space="preserve">   Gradonačelnik:                                          </w:t>
      </w:r>
    </w:p>
    <w:p w14:paraId="2FBF8064" w14:textId="77777777" w:rsidR="00D543F8" w:rsidRDefault="00D543F8" w:rsidP="00D543F8">
      <w:pPr>
        <w:jc w:val="both"/>
        <w:rPr>
          <w:rFonts w:ascii="Times New Roman" w:hAnsi="Times New Roman"/>
          <w:sz w:val="22"/>
          <w:szCs w:val="22"/>
        </w:rPr>
      </w:pPr>
      <w:r>
        <w:rPr>
          <w:rFonts w:ascii="Times New Roman" w:hAnsi="Times New Roman"/>
          <w:sz w:val="22"/>
          <w:szCs w:val="22"/>
        </w:rPr>
        <w:t xml:space="preserve">          Zdravko Punčikar                                                     </w:t>
      </w:r>
      <w:r>
        <w:rPr>
          <w:rFonts w:ascii="Times New Roman" w:hAnsi="Times New Roman"/>
          <w:sz w:val="22"/>
          <w:szCs w:val="22"/>
        </w:rPr>
        <w:tab/>
        <w:t xml:space="preserve"> </w:t>
      </w:r>
      <w:r>
        <w:rPr>
          <w:rFonts w:ascii="Times New Roman" w:hAnsi="Times New Roman"/>
          <w:sz w:val="22"/>
          <w:szCs w:val="22"/>
        </w:rPr>
        <w:tab/>
      </w:r>
      <w:r>
        <w:rPr>
          <w:rFonts w:ascii="Times New Roman" w:hAnsi="Times New Roman"/>
          <w:sz w:val="22"/>
          <w:szCs w:val="22"/>
        </w:rPr>
        <w:tab/>
        <w:t xml:space="preserve">       Mišel Jakšić</w:t>
      </w:r>
    </w:p>
    <w:p w14:paraId="60AD3A98" w14:textId="77777777" w:rsidR="00D543F8" w:rsidRDefault="00D543F8" w:rsidP="00D543F8">
      <w:pPr>
        <w:jc w:val="right"/>
        <w:rPr>
          <w:sz w:val="22"/>
          <w:szCs w:val="22"/>
        </w:rPr>
      </w:pPr>
    </w:p>
    <w:p w14:paraId="70ADB0E2" w14:textId="77777777" w:rsidR="00D543F8" w:rsidRDefault="00D543F8" w:rsidP="00D543F8">
      <w:pPr>
        <w:spacing w:beforeLines="40" w:before="96" w:afterLines="40" w:after="96"/>
        <w:jc w:val="both"/>
        <w:rPr>
          <w:sz w:val="22"/>
          <w:szCs w:val="22"/>
        </w:rPr>
      </w:pPr>
    </w:p>
    <w:p w14:paraId="5267BBDF" w14:textId="77777777" w:rsidR="00D543F8" w:rsidRDefault="00D543F8" w:rsidP="00D543F8">
      <w:pPr>
        <w:rPr>
          <w:rFonts w:ascii="Times New Roman" w:hAnsi="Times New Roman"/>
          <w:sz w:val="22"/>
          <w:szCs w:val="22"/>
        </w:rPr>
      </w:pPr>
    </w:p>
    <w:p w14:paraId="04607786" w14:textId="77777777" w:rsidR="00175E5D" w:rsidRDefault="00175E5D"/>
    <w:sectPr w:rsidR="00175E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15DCE"/>
    <w:multiLevelType w:val="hybridMultilevel"/>
    <w:tmpl w:val="FFB8E0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6407730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E5D"/>
    <w:rsid w:val="00175E5D"/>
    <w:rsid w:val="003665E6"/>
    <w:rsid w:val="00C04D95"/>
    <w:rsid w:val="00D44A12"/>
    <w:rsid w:val="00D543F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2CE1F"/>
  <w15:chartTrackingRefBased/>
  <w15:docId w15:val="{1F6FB32B-45A6-4692-8344-95314BE60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3F8"/>
    <w:pPr>
      <w:spacing w:after="0" w:line="240" w:lineRule="auto"/>
    </w:pPr>
    <w:rPr>
      <w:rFonts w:ascii="Arial" w:eastAsia="Times New Roman" w:hAnsi="Arial" w:cs="Times New Roman"/>
      <w:kern w:val="0"/>
      <w:szCs w:val="20"/>
      <w:lang w:eastAsia="hr-HR"/>
      <w14:ligatures w14:val="none"/>
    </w:rPr>
  </w:style>
  <w:style w:type="paragraph" w:styleId="Naslov1">
    <w:name w:val="heading 1"/>
    <w:basedOn w:val="Normal"/>
    <w:next w:val="Normal"/>
    <w:link w:val="Naslov1Char"/>
    <w:uiPriority w:val="9"/>
    <w:qFormat/>
    <w:rsid w:val="00175E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175E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175E5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175E5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175E5D"/>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175E5D"/>
    <w:pPr>
      <w:keepNext/>
      <w:keepLines/>
      <w:spacing w:before="4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175E5D"/>
    <w:pPr>
      <w:keepNext/>
      <w:keepLines/>
      <w:spacing w:before="4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175E5D"/>
    <w:pPr>
      <w:keepNext/>
      <w:keepLines/>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175E5D"/>
    <w:pPr>
      <w:keepNext/>
      <w:keepLines/>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75E5D"/>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175E5D"/>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175E5D"/>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175E5D"/>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175E5D"/>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175E5D"/>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175E5D"/>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175E5D"/>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175E5D"/>
    <w:rPr>
      <w:rFonts w:eastAsiaTheme="majorEastAsia" w:cstheme="majorBidi"/>
      <w:color w:val="272727" w:themeColor="text1" w:themeTint="D8"/>
    </w:rPr>
  </w:style>
  <w:style w:type="paragraph" w:styleId="Naslov">
    <w:name w:val="Title"/>
    <w:basedOn w:val="Normal"/>
    <w:next w:val="Normal"/>
    <w:link w:val="NaslovChar"/>
    <w:uiPriority w:val="10"/>
    <w:qFormat/>
    <w:rsid w:val="00175E5D"/>
    <w:pPr>
      <w:spacing w:after="80"/>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175E5D"/>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175E5D"/>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175E5D"/>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175E5D"/>
    <w:pPr>
      <w:spacing w:before="160"/>
      <w:jc w:val="center"/>
    </w:pPr>
    <w:rPr>
      <w:i/>
      <w:iCs/>
      <w:color w:val="404040" w:themeColor="text1" w:themeTint="BF"/>
    </w:rPr>
  </w:style>
  <w:style w:type="character" w:customStyle="1" w:styleId="CitatChar">
    <w:name w:val="Citat Char"/>
    <w:basedOn w:val="Zadanifontodlomka"/>
    <w:link w:val="Citat"/>
    <w:uiPriority w:val="29"/>
    <w:rsid w:val="00175E5D"/>
    <w:rPr>
      <w:i/>
      <w:iCs/>
      <w:color w:val="404040" w:themeColor="text1" w:themeTint="BF"/>
    </w:rPr>
  </w:style>
  <w:style w:type="paragraph" w:styleId="Odlomakpopisa">
    <w:name w:val="List Paragraph"/>
    <w:basedOn w:val="Normal"/>
    <w:uiPriority w:val="34"/>
    <w:qFormat/>
    <w:rsid w:val="00175E5D"/>
    <w:pPr>
      <w:ind w:left="720"/>
      <w:contextualSpacing/>
    </w:pPr>
  </w:style>
  <w:style w:type="character" w:styleId="Jakoisticanje">
    <w:name w:val="Intense Emphasis"/>
    <w:basedOn w:val="Zadanifontodlomka"/>
    <w:uiPriority w:val="21"/>
    <w:qFormat/>
    <w:rsid w:val="00175E5D"/>
    <w:rPr>
      <w:i/>
      <w:iCs/>
      <w:color w:val="0F4761" w:themeColor="accent1" w:themeShade="BF"/>
    </w:rPr>
  </w:style>
  <w:style w:type="paragraph" w:styleId="Naglaencitat">
    <w:name w:val="Intense Quote"/>
    <w:basedOn w:val="Normal"/>
    <w:next w:val="Normal"/>
    <w:link w:val="NaglaencitatChar"/>
    <w:uiPriority w:val="30"/>
    <w:qFormat/>
    <w:rsid w:val="00175E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175E5D"/>
    <w:rPr>
      <w:i/>
      <w:iCs/>
      <w:color w:val="0F4761" w:themeColor="accent1" w:themeShade="BF"/>
    </w:rPr>
  </w:style>
  <w:style w:type="character" w:styleId="Istaknutareferenca">
    <w:name w:val="Intense Reference"/>
    <w:basedOn w:val="Zadanifontodlomka"/>
    <w:uiPriority w:val="32"/>
    <w:qFormat/>
    <w:rsid w:val="00175E5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358</Words>
  <Characters>2041</Characters>
  <Application>Microsoft Office Word</Application>
  <DocSecurity>0</DocSecurity>
  <Lines>17</Lines>
  <Paragraphs>4</Paragraphs>
  <ScaleCrop>false</ScaleCrop>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Čok</dc:creator>
  <cp:keywords/>
  <dc:description/>
  <cp:lastModifiedBy>Mateja Čok</cp:lastModifiedBy>
  <cp:revision>4</cp:revision>
  <dcterms:created xsi:type="dcterms:W3CDTF">2026-06-02T07:42:00Z</dcterms:created>
  <dcterms:modified xsi:type="dcterms:W3CDTF">2026-06-02T07:42:00Z</dcterms:modified>
</cp:coreProperties>
</file>